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F80E08" w:rsidRDefault="00F80E08" w:rsidP="00BD0874">
      <w:pPr>
        <w:rPr>
          <w:b/>
          <w:sz w:val="28"/>
        </w:rPr>
      </w:pPr>
    </w:p>
    <w:p w:rsidR="00701390" w:rsidRDefault="00701390" w:rsidP="00EE5A62">
      <w:pPr>
        <w:ind w:left="2615" w:hanging="2615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AC404D" w:rsidRPr="00AC404D" w:rsidRDefault="00AC404D" w:rsidP="00AC404D">
      <w:pPr>
        <w:pStyle w:val="a3"/>
        <w:ind w:left="240" w:right="359" w:firstLine="1"/>
        <w:jc w:val="both"/>
        <w:rPr>
          <w:b/>
        </w:rPr>
      </w:pPr>
      <w:r w:rsidRPr="00AC404D">
        <w:rPr>
          <w:b/>
        </w:rPr>
        <w:t>послуги зі збереження середньої заробітної плати під час переїзду на нове місце проживання, але не більше ніж за 14 робочих днів громадянам, які постраждали</w:t>
      </w:r>
      <w:r w:rsidRPr="00AC404D">
        <w:rPr>
          <w:b/>
          <w:spacing w:val="-8"/>
        </w:rPr>
        <w:t xml:space="preserve"> </w:t>
      </w:r>
      <w:r w:rsidRPr="00AC404D">
        <w:rPr>
          <w:b/>
        </w:rPr>
        <w:t>внаслідок</w:t>
      </w:r>
      <w:r w:rsidRPr="00AC404D">
        <w:rPr>
          <w:b/>
          <w:spacing w:val="-8"/>
        </w:rPr>
        <w:t xml:space="preserve"> </w:t>
      </w:r>
      <w:r w:rsidRPr="00AC404D">
        <w:rPr>
          <w:b/>
        </w:rPr>
        <w:t>Чорнобильської</w:t>
      </w:r>
      <w:r w:rsidRPr="00AC404D">
        <w:rPr>
          <w:b/>
          <w:spacing w:val="-7"/>
        </w:rPr>
        <w:t xml:space="preserve"> </w:t>
      </w:r>
      <w:r w:rsidRPr="00AC404D">
        <w:rPr>
          <w:b/>
        </w:rPr>
        <w:t>катастрофи,</w:t>
      </w:r>
      <w:r w:rsidRPr="00AC404D">
        <w:rPr>
          <w:b/>
          <w:spacing w:val="-7"/>
        </w:rPr>
        <w:t xml:space="preserve"> </w:t>
      </w:r>
      <w:r w:rsidRPr="00AC404D">
        <w:rPr>
          <w:b/>
        </w:rPr>
        <w:t>які</w:t>
      </w:r>
      <w:r w:rsidRPr="00AC404D">
        <w:rPr>
          <w:b/>
          <w:spacing w:val="-7"/>
        </w:rPr>
        <w:t xml:space="preserve"> </w:t>
      </w:r>
      <w:r w:rsidRPr="00AC404D">
        <w:rPr>
          <w:b/>
        </w:rPr>
        <w:t>відселяються</w:t>
      </w:r>
      <w:r w:rsidRPr="00AC404D">
        <w:rPr>
          <w:b/>
          <w:spacing w:val="-7"/>
        </w:rPr>
        <w:t xml:space="preserve"> </w:t>
      </w:r>
      <w:r w:rsidRPr="00AC404D">
        <w:rPr>
          <w:b/>
        </w:rPr>
        <w:t>або переселяються з території зони радіоактивного забруднення</w:t>
      </w:r>
    </w:p>
    <w:p w:rsidR="00A5265E" w:rsidRPr="00A5265E" w:rsidRDefault="00A5265E" w:rsidP="00BD0874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9D6E2B">
        <w:trPr>
          <w:trHeight w:val="689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9D6E2B" w:rsidRPr="00AC404D" w:rsidRDefault="009D6E2B" w:rsidP="00AC404D">
            <w:pPr>
              <w:pStyle w:val="a3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747976">
              <w:rPr>
                <w:sz w:val="24"/>
                <w:szCs w:val="24"/>
              </w:rPr>
              <w:t xml:space="preserve"> Прийняття та реєстрація звернення щодо </w:t>
            </w:r>
            <w:r w:rsidR="00701390">
              <w:rPr>
                <w:sz w:val="24"/>
                <w:szCs w:val="24"/>
              </w:rPr>
              <w:t xml:space="preserve">надання інформації щодо умов та порядку </w:t>
            </w:r>
            <w:r w:rsidRPr="009D6E2B">
              <w:rPr>
                <w:sz w:val="24"/>
                <w:szCs w:val="24"/>
              </w:rPr>
              <w:t xml:space="preserve">надання </w:t>
            </w:r>
            <w:r w:rsidR="00AC404D" w:rsidRPr="00AC404D">
              <w:rPr>
                <w:sz w:val="24"/>
                <w:szCs w:val="24"/>
              </w:rPr>
              <w:t>послуги зі збереження середньої заробітної плати під час переїзду на нове місце проживання, але не більше ніж за 14 робочих днів громадянам, які постраждали</w:t>
            </w:r>
            <w:r w:rsidR="00AC404D" w:rsidRPr="00AC404D">
              <w:rPr>
                <w:spacing w:val="-8"/>
                <w:sz w:val="24"/>
                <w:szCs w:val="24"/>
              </w:rPr>
              <w:t xml:space="preserve"> </w:t>
            </w:r>
            <w:r w:rsidR="00AC404D" w:rsidRPr="00AC404D">
              <w:rPr>
                <w:sz w:val="24"/>
                <w:szCs w:val="24"/>
              </w:rPr>
              <w:t>внаслідок</w:t>
            </w:r>
            <w:r w:rsidR="00AC404D" w:rsidRPr="00AC404D">
              <w:rPr>
                <w:spacing w:val="-8"/>
                <w:sz w:val="24"/>
                <w:szCs w:val="24"/>
              </w:rPr>
              <w:t xml:space="preserve"> </w:t>
            </w:r>
            <w:r w:rsidR="00AC404D" w:rsidRPr="00AC404D">
              <w:rPr>
                <w:sz w:val="24"/>
                <w:szCs w:val="24"/>
              </w:rPr>
              <w:t>Чорнобильської</w:t>
            </w:r>
            <w:r w:rsidR="00AC404D" w:rsidRPr="00AC404D">
              <w:rPr>
                <w:spacing w:val="-7"/>
                <w:sz w:val="24"/>
                <w:szCs w:val="24"/>
              </w:rPr>
              <w:t xml:space="preserve"> </w:t>
            </w:r>
            <w:r w:rsidR="00AC404D" w:rsidRPr="00AC404D">
              <w:rPr>
                <w:sz w:val="24"/>
                <w:szCs w:val="24"/>
              </w:rPr>
              <w:t>катастрофи,</w:t>
            </w:r>
            <w:r w:rsidR="00AC404D" w:rsidRPr="00AC404D">
              <w:rPr>
                <w:spacing w:val="-7"/>
                <w:sz w:val="24"/>
                <w:szCs w:val="24"/>
              </w:rPr>
              <w:t xml:space="preserve"> </w:t>
            </w:r>
            <w:r w:rsidR="00AC404D" w:rsidRPr="00AC404D">
              <w:rPr>
                <w:sz w:val="24"/>
                <w:szCs w:val="24"/>
              </w:rPr>
              <w:t>які</w:t>
            </w:r>
            <w:r w:rsidR="00AC404D" w:rsidRPr="00AC404D">
              <w:rPr>
                <w:spacing w:val="-7"/>
                <w:sz w:val="24"/>
                <w:szCs w:val="24"/>
              </w:rPr>
              <w:t xml:space="preserve"> </w:t>
            </w:r>
            <w:r w:rsidR="00AC404D" w:rsidRPr="00AC404D">
              <w:rPr>
                <w:sz w:val="24"/>
                <w:szCs w:val="24"/>
              </w:rPr>
              <w:t>відселяються</w:t>
            </w:r>
            <w:r w:rsidR="00AC404D" w:rsidRPr="00AC404D">
              <w:rPr>
                <w:spacing w:val="-7"/>
                <w:sz w:val="24"/>
                <w:szCs w:val="24"/>
              </w:rPr>
              <w:t xml:space="preserve"> </w:t>
            </w:r>
            <w:r w:rsidR="00AC404D" w:rsidRPr="00AC404D">
              <w:rPr>
                <w:sz w:val="24"/>
                <w:szCs w:val="24"/>
              </w:rPr>
              <w:t>або переселяються з території зони радіоактивного забруднення</w:t>
            </w:r>
            <w:r w:rsidR="00701390">
              <w:rPr>
                <w:sz w:val="24"/>
                <w:szCs w:val="24"/>
              </w:rPr>
              <w:t>;</w:t>
            </w:r>
          </w:p>
          <w:p w:rsidR="00AC404D" w:rsidRPr="009D6E2B" w:rsidRDefault="00747976" w:rsidP="00AC404D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Pr="008E607A">
              <w:rPr>
                <w:sz w:val="24"/>
                <w:szCs w:val="24"/>
                <w:lang w:val="ru-RU"/>
              </w:rPr>
              <w:t>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BD0874" w:rsidRPr="00A22572" w:rsidRDefault="00A22572" w:rsidP="00D252AC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701390" w:rsidRPr="00A22572" w:rsidRDefault="00701390" w:rsidP="00D252AC">
            <w:pPr>
              <w:widowControl/>
              <w:adjustRightInd w:val="0"/>
              <w:ind w:left="51" w:right="51" w:firstLine="142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701390" w:rsidRDefault="00701390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01390" w:rsidRPr="00F51E53" w:rsidRDefault="00661A12" w:rsidP="00826EE2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F339B5" w:rsidRPr="00D11135" w:rsidTr="00747976">
        <w:trPr>
          <w:trHeight w:val="978"/>
        </w:trPr>
        <w:tc>
          <w:tcPr>
            <w:tcW w:w="567" w:type="dxa"/>
          </w:tcPr>
          <w:p w:rsidR="00F339B5" w:rsidRPr="00B4005F" w:rsidRDefault="00F339B5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339B5" w:rsidRPr="00B4005F" w:rsidRDefault="00F339B5" w:rsidP="0009052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F339B5" w:rsidRPr="00B4005F" w:rsidRDefault="00F339B5" w:rsidP="0009052F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F339B5" w:rsidRPr="0092672B" w:rsidRDefault="00F339B5" w:rsidP="0009052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3) засвідчення кваліфікованим </w:t>
            </w:r>
          </w:p>
          <w:p w:rsidR="00F339B5" w:rsidRDefault="00F339B5" w:rsidP="0009052F">
            <w:pPr>
              <w:pStyle w:val="TableParagraph"/>
              <w:spacing w:before="0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електронним підписом;</w:t>
            </w:r>
          </w:p>
          <w:p w:rsidR="00F339B5" w:rsidRPr="00B4005F" w:rsidRDefault="00F339B5" w:rsidP="0009052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F339B5" w:rsidRPr="0092672B" w:rsidRDefault="00F339B5" w:rsidP="00C56058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  <w:lang w:val="en-US"/>
              </w:rPr>
              <w:t> </w:t>
            </w:r>
            <w:r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>
              <w:rPr>
                <w:sz w:val="24"/>
                <w:szCs w:val="24"/>
              </w:rPr>
              <w:t xml:space="preserve"> </w:t>
            </w:r>
            <w:r w:rsidRPr="005C4754">
              <w:rPr>
                <w:sz w:val="24"/>
                <w:szCs w:val="24"/>
              </w:rPr>
              <w:t xml:space="preserve">державних електронних </w:t>
            </w:r>
          </w:p>
        </w:tc>
        <w:tc>
          <w:tcPr>
            <w:tcW w:w="1559" w:type="dxa"/>
          </w:tcPr>
          <w:p w:rsidR="00747976" w:rsidRPr="00A05620" w:rsidRDefault="00747976" w:rsidP="0074797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747976" w:rsidRPr="00A05620" w:rsidRDefault="00747976" w:rsidP="0074797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747976" w:rsidRPr="00A05620" w:rsidRDefault="00747976" w:rsidP="0074797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747976" w:rsidRPr="00A05620" w:rsidRDefault="00747976" w:rsidP="0074797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747976" w:rsidRPr="00A05620" w:rsidRDefault="00747976" w:rsidP="0074797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F339B5" w:rsidRPr="008E607A" w:rsidRDefault="00747976" w:rsidP="00C56058">
            <w:pPr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F339B5" w:rsidRPr="00B4005F" w:rsidRDefault="00F339B5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F339B5" w:rsidRPr="0028319E" w:rsidRDefault="00F339B5" w:rsidP="002B341F">
            <w:pPr>
              <w:spacing w:after="120"/>
              <w:ind w:left="51" w:right="125" w:firstLine="142"/>
              <w:jc w:val="both"/>
              <w:rPr>
                <w:sz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</w:t>
            </w:r>
            <w:r>
              <w:rPr>
                <w:sz w:val="24"/>
                <w:lang w:eastAsia="ru-RU"/>
              </w:rPr>
              <w:t>30 днів</w:t>
            </w:r>
            <w:r w:rsidRPr="003575A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eastAsia="ru-RU"/>
              </w:rPr>
              <w:t>після їх надходження</w:t>
            </w:r>
            <w:r w:rsidRPr="003575A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eastAsia="ru-RU"/>
              </w:rPr>
              <w:t>з усіма необхідними відомостями</w:t>
            </w:r>
          </w:p>
        </w:tc>
      </w:tr>
      <w:tr w:rsidR="00C56058" w:rsidTr="003575AD">
        <w:trPr>
          <w:trHeight w:val="109"/>
        </w:trPr>
        <w:tc>
          <w:tcPr>
            <w:tcW w:w="567" w:type="dxa"/>
          </w:tcPr>
          <w:p w:rsidR="00C56058" w:rsidRPr="00307C3B" w:rsidRDefault="00C56058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C56058" w:rsidRPr="00307C3B" w:rsidRDefault="00C56058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C56058" w:rsidRPr="00307C3B" w:rsidRDefault="00C56058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C56058" w:rsidRPr="00307C3B" w:rsidRDefault="00C56058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C56058" w:rsidRPr="00307C3B" w:rsidRDefault="00C56058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56058" w:rsidTr="003575AD">
        <w:trPr>
          <w:trHeight w:val="109"/>
        </w:trPr>
        <w:tc>
          <w:tcPr>
            <w:tcW w:w="567" w:type="dxa"/>
          </w:tcPr>
          <w:p w:rsidR="00C56058" w:rsidRDefault="00C5605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56058" w:rsidRDefault="00C56058" w:rsidP="00C56058">
            <w:pPr>
              <w:pStyle w:val="TableParagraph"/>
              <w:spacing w:before="0"/>
              <w:ind w:left="51" w:right="125"/>
              <w:jc w:val="both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>інформаційних ресурсах шляхом електронної інформаційної взаємодії;</w:t>
            </w:r>
          </w:p>
        </w:tc>
        <w:tc>
          <w:tcPr>
            <w:tcW w:w="1559" w:type="dxa"/>
          </w:tcPr>
          <w:p w:rsidR="00C56058" w:rsidRDefault="00C56058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C56058" w:rsidRPr="003575AD" w:rsidRDefault="00C56058" w:rsidP="006C129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56058" w:rsidRPr="00174B61" w:rsidRDefault="00C56058" w:rsidP="002B341F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56058" w:rsidTr="003575AD">
        <w:trPr>
          <w:trHeight w:val="109"/>
        </w:trPr>
        <w:tc>
          <w:tcPr>
            <w:tcW w:w="567" w:type="dxa"/>
          </w:tcPr>
          <w:p w:rsidR="00C56058" w:rsidRPr="003575AD" w:rsidRDefault="00C56058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C56058" w:rsidRPr="002E7E2B" w:rsidRDefault="00C56058" w:rsidP="006C129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1818F3">
              <w:rPr>
                <w:sz w:val="24"/>
                <w:szCs w:val="24"/>
              </w:rPr>
              <w:t>Якщо подані не всі документи та/або відомості, виявлено розбіжності з даними Реєстру осіб, які ма</w:t>
            </w:r>
            <w:r>
              <w:rPr>
                <w:sz w:val="24"/>
                <w:szCs w:val="24"/>
              </w:rPr>
              <w:t>ють право на пільги, роботодавець</w:t>
            </w:r>
            <w:r w:rsidRPr="001818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повідомляється</w:t>
            </w:r>
            <w:r w:rsidRPr="001818F3">
              <w:rPr>
                <w:sz w:val="24"/>
                <w:szCs w:val="24"/>
              </w:rPr>
              <w:t>, які документи та/або відомості мають бути подані додатково.</w:t>
            </w:r>
          </w:p>
        </w:tc>
        <w:tc>
          <w:tcPr>
            <w:tcW w:w="1559" w:type="dxa"/>
          </w:tcPr>
          <w:p w:rsidR="00C56058" w:rsidRPr="00A22572" w:rsidRDefault="00C56058" w:rsidP="006C129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C56058" w:rsidRPr="007F1024" w:rsidRDefault="00C56058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C56058" w:rsidRPr="003575AD" w:rsidRDefault="00C56058" w:rsidP="006C129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C56058" w:rsidRPr="003575AD" w:rsidRDefault="00C56058" w:rsidP="006C129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56058" w:rsidRPr="00174B61" w:rsidRDefault="00C56058" w:rsidP="002B341F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56058" w:rsidTr="003575AD">
        <w:trPr>
          <w:trHeight w:val="109"/>
        </w:trPr>
        <w:tc>
          <w:tcPr>
            <w:tcW w:w="567" w:type="dxa"/>
          </w:tcPr>
          <w:p w:rsidR="00C56058" w:rsidRDefault="00C5605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C56058" w:rsidRDefault="00C56058" w:rsidP="006C129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Опрацювання звернення щодо призначення / виплати:</w:t>
            </w:r>
          </w:p>
          <w:p w:rsidR="00C56058" w:rsidRDefault="00C56058" w:rsidP="006C129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опрацювання звернення</w:t>
            </w:r>
            <w:r w:rsidRPr="007E0720">
              <w:rPr>
                <w:sz w:val="24"/>
                <w:szCs w:val="24"/>
              </w:rPr>
              <w:t>;</w:t>
            </w:r>
          </w:p>
          <w:p w:rsidR="00C56058" w:rsidRDefault="00C56058" w:rsidP="006C129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>
              <w:rPr>
                <w:sz w:val="24"/>
                <w:szCs w:val="24"/>
              </w:rPr>
              <w:t>перевірка внесених даних, виплатних реквізитів</w:t>
            </w:r>
            <w:r w:rsidRPr="008B62EC">
              <w:rPr>
                <w:sz w:val="24"/>
                <w:szCs w:val="24"/>
              </w:rPr>
              <w:t>;</w:t>
            </w:r>
          </w:p>
          <w:p w:rsidR="00C56058" w:rsidRPr="003B2178" w:rsidRDefault="00C56058" w:rsidP="006C129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затвердження або, у разі потреби – повернення на попередній етап;</w:t>
            </w:r>
          </w:p>
          <w:p w:rsidR="00C56058" w:rsidRPr="002E7E2B" w:rsidRDefault="00C56058" w:rsidP="006C129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56058" w:rsidRPr="00A05620" w:rsidRDefault="00C56058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C56058" w:rsidRPr="00A05620" w:rsidRDefault="00C56058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C56058" w:rsidRPr="00A05620" w:rsidRDefault="00C56058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C56058" w:rsidRPr="00A05620" w:rsidRDefault="00C56058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C56058" w:rsidRPr="00A05620" w:rsidRDefault="00C56058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C56058" w:rsidRPr="007F1024" w:rsidRDefault="00C56058" w:rsidP="006C129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C56058" w:rsidRPr="003575AD" w:rsidRDefault="00C56058" w:rsidP="006C129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C56058" w:rsidRPr="003575AD" w:rsidRDefault="00C56058" w:rsidP="006C129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  <w:vMerge/>
          </w:tcPr>
          <w:p w:rsidR="00C56058" w:rsidRPr="00174B61" w:rsidRDefault="00C56058" w:rsidP="002B341F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7427E4" w:rsidRPr="001F1AB0" w:rsidRDefault="009D6E2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7427E4" w:rsidRPr="002B341F" w:rsidRDefault="00C56058" w:rsidP="002B341F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 xml:space="preserve">роботодавця </w:t>
            </w:r>
            <w:r w:rsidR="00AA1315" w:rsidRPr="005C4754">
              <w:rPr>
                <w:sz w:val="24"/>
                <w:szCs w:val="24"/>
              </w:rPr>
              <w:t xml:space="preserve">про призначення чи </w:t>
            </w:r>
            <w:r w:rsidR="00AA1315" w:rsidRPr="005C4754">
              <w:rPr>
                <w:spacing w:val="-2"/>
                <w:sz w:val="24"/>
                <w:szCs w:val="24"/>
              </w:rPr>
              <w:t>відмову</w:t>
            </w:r>
            <w:r w:rsidR="00AA1315" w:rsidRPr="005C4754">
              <w:rPr>
                <w:sz w:val="24"/>
                <w:szCs w:val="24"/>
              </w:rPr>
              <w:t xml:space="preserve"> </w:t>
            </w:r>
            <w:r w:rsidR="00AA1315" w:rsidRPr="005C4754">
              <w:rPr>
                <w:spacing w:val="-10"/>
                <w:sz w:val="24"/>
                <w:szCs w:val="24"/>
              </w:rPr>
              <w:t>у</w:t>
            </w:r>
            <w:r w:rsidR="00AA1315" w:rsidRPr="005C4754">
              <w:rPr>
                <w:sz w:val="24"/>
                <w:szCs w:val="24"/>
              </w:rPr>
              <w:t xml:space="preserve"> </w:t>
            </w:r>
            <w:r w:rsidR="004633CF">
              <w:rPr>
                <w:sz w:val="24"/>
                <w:szCs w:val="24"/>
              </w:rPr>
              <w:t>наданні</w:t>
            </w:r>
            <w:r w:rsidR="002B341F" w:rsidRPr="009D6E2B">
              <w:rPr>
                <w:sz w:val="24"/>
                <w:szCs w:val="24"/>
              </w:rPr>
              <w:t xml:space="preserve"> </w:t>
            </w:r>
            <w:r w:rsidR="00691B9A" w:rsidRPr="00AC404D">
              <w:rPr>
                <w:sz w:val="24"/>
                <w:szCs w:val="24"/>
              </w:rPr>
              <w:t>послуги зі збереження середньої заробітної плати під час переїзду на нове місце проживання, але не більше ніж за 14 робочих днів громадянам, які постраждали</w:t>
            </w:r>
            <w:r w:rsidR="00691B9A" w:rsidRPr="00AC404D">
              <w:rPr>
                <w:spacing w:val="-8"/>
                <w:sz w:val="24"/>
                <w:szCs w:val="24"/>
              </w:rPr>
              <w:t xml:space="preserve"> </w:t>
            </w:r>
            <w:r w:rsidR="00691B9A" w:rsidRPr="00AC404D">
              <w:rPr>
                <w:sz w:val="24"/>
                <w:szCs w:val="24"/>
              </w:rPr>
              <w:t>внаслідок</w:t>
            </w:r>
            <w:r w:rsidR="00691B9A" w:rsidRPr="00AC404D">
              <w:rPr>
                <w:spacing w:val="-8"/>
                <w:sz w:val="24"/>
                <w:szCs w:val="24"/>
              </w:rPr>
              <w:t xml:space="preserve"> </w:t>
            </w:r>
            <w:r w:rsidR="00691B9A" w:rsidRPr="00AC404D">
              <w:rPr>
                <w:sz w:val="24"/>
                <w:szCs w:val="24"/>
              </w:rPr>
              <w:t>Чорнобильської</w:t>
            </w:r>
            <w:r w:rsidR="00691B9A" w:rsidRPr="00AC404D">
              <w:rPr>
                <w:spacing w:val="-7"/>
                <w:sz w:val="24"/>
                <w:szCs w:val="24"/>
              </w:rPr>
              <w:t xml:space="preserve"> </w:t>
            </w:r>
            <w:r w:rsidR="00691B9A" w:rsidRPr="00AC404D">
              <w:rPr>
                <w:sz w:val="24"/>
                <w:szCs w:val="24"/>
              </w:rPr>
              <w:t>катастрофи,</w:t>
            </w:r>
            <w:r w:rsidR="00691B9A" w:rsidRPr="00AC404D">
              <w:rPr>
                <w:spacing w:val="-7"/>
                <w:sz w:val="24"/>
                <w:szCs w:val="24"/>
              </w:rPr>
              <w:t xml:space="preserve"> </w:t>
            </w:r>
            <w:r w:rsidR="00691B9A" w:rsidRPr="00AC404D">
              <w:rPr>
                <w:sz w:val="24"/>
                <w:szCs w:val="24"/>
              </w:rPr>
              <w:t>які</w:t>
            </w:r>
            <w:r w:rsidR="00691B9A" w:rsidRPr="00AC404D">
              <w:rPr>
                <w:spacing w:val="-7"/>
                <w:sz w:val="24"/>
                <w:szCs w:val="24"/>
              </w:rPr>
              <w:t xml:space="preserve"> </w:t>
            </w:r>
            <w:r w:rsidR="00691B9A" w:rsidRPr="00AC404D">
              <w:rPr>
                <w:sz w:val="24"/>
                <w:szCs w:val="24"/>
              </w:rPr>
              <w:t>відселяються</w:t>
            </w:r>
            <w:r w:rsidR="00691B9A" w:rsidRPr="00AC404D">
              <w:rPr>
                <w:spacing w:val="-7"/>
                <w:sz w:val="24"/>
                <w:szCs w:val="24"/>
              </w:rPr>
              <w:t xml:space="preserve"> </w:t>
            </w:r>
            <w:r w:rsidR="00691B9A" w:rsidRPr="00AC404D">
              <w:rPr>
                <w:sz w:val="24"/>
                <w:szCs w:val="24"/>
              </w:rPr>
              <w:t>або переселяються з території зони радіоактивного забруднення</w:t>
            </w:r>
            <w:r w:rsidR="002B341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614FD" w:rsidRPr="00AA1315" w:rsidRDefault="00AA1315" w:rsidP="00D252AC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7427E4" w:rsidRPr="00AA1315" w:rsidRDefault="007427E4" w:rsidP="00D252AC">
            <w:pPr>
              <w:widowControl/>
              <w:adjustRightInd w:val="0"/>
              <w:ind w:left="51" w:right="51" w:firstLine="142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7427E4" w:rsidRDefault="0054021D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2B341F" w:rsidRPr="00B92388" w:rsidRDefault="002B341F" w:rsidP="002B341F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 електронного </w:t>
            </w:r>
          </w:p>
          <w:p w:rsidR="00482A8F" w:rsidRPr="00B92388" w:rsidRDefault="002B341F" w:rsidP="002B341F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 w:rsidR="0084348A">
              <w:rPr>
                <w:sz w:val="24"/>
                <w:szCs w:val="24"/>
              </w:rPr>
              <w:t>.</w:t>
            </w:r>
          </w:p>
        </w:tc>
      </w:tr>
    </w:tbl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AC404D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1702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A3A" w:rsidRDefault="00007A3A" w:rsidP="004F5631">
      <w:r>
        <w:separator/>
      </w:r>
    </w:p>
  </w:endnote>
  <w:endnote w:type="continuationSeparator" w:id="0">
    <w:p w:rsidR="00007A3A" w:rsidRDefault="00007A3A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6B7F42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A3A" w:rsidRDefault="00007A3A" w:rsidP="004F5631">
      <w:r>
        <w:separator/>
      </w:r>
    </w:p>
  </w:footnote>
  <w:footnote w:type="continuationSeparator" w:id="0">
    <w:p w:rsidR="00007A3A" w:rsidRDefault="00007A3A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6B7F42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6B7F42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56058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6B7F42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C56058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8A9688D"/>
    <w:multiLevelType w:val="hybridMultilevel"/>
    <w:tmpl w:val="F30A80E4"/>
    <w:lvl w:ilvl="0" w:tplc="EF9AA16A">
      <w:start w:val="1"/>
      <w:numFmt w:val="decimal"/>
      <w:lvlText w:val="%1)"/>
      <w:lvlJc w:val="left"/>
      <w:pPr>
        <w:ind w:left="598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73" w:hanging="360"/>
      </w:pPr>
    </w:lvl>
    <w:lvl w:ilvl="2" w:tplc="0422001B" w:tentative="1">
      <w:start w:val="1"/>
      <w:numFmt w:val="lowerRoman"/>
      <w:lvlText w:val="%3."/>
      <w:lvlJc w:val="right"/>
      <w:pPr>
        <w:ind w:left="1993" w:hanging="180"/>
      </w:pPr>
    </w:lvl>
    <w:lvl w:ilvl="3" w:tplc="0422000F" w:tentative="1">
      <w:start w:val="1"/>
      <w:numFmt w:val="decimal"/>
      <w:lvlText w:val="%4."/>
      <w:lvlJc w:val="left"/>
      <w:pPr>
        <w:ind w:left="2713" w:hanging="360"/>
      </w:pPr>
    </w:lvl>
    <w:lvl w:ilvl="4" w:tplc="04220019" w:tentative="1">
      <w:start w:val="1"/>
      <w:numFmt w:val="lowerLetter"/>
      <w:lvlText w:val="%5."/>
      <w:lvlJc w:val="left"/>
      <w:pPr>
        <w:ind w:left="3433" w:hanging="360"/>
      </w:pPr>
    </w:lvl>
    <w:lvl w:ilvl="5" w:tplc="0422001B" w:tentative="1">
      <w:start w:val="1"/>
      <w:numFmt w:val="lowerRoman"/>
      <w:lvlText w:val="%6."/>
      <w:lvlJc w:val="right"/>
      <w:pPr>
        <w:ind w:left="4153" w:hanging="180"/>
      </w:pPr>
    </w:lvl>
    <w:lvl w:ilvl="6" w:tplc="0422000F" w:tentative="1">
      <w:start w:val="1"/>
      <w:numFmt w:val="decimal"/>
      <w:lvlText w:val="%7."/>
      <w:lvlJc w:val="left"/>
      <w:pPr>
        <w:ind w:left="4873" w:hanging="360"/>
      </w:pPr>
    </w:lvl>
    <w:lvl w:ilvl="7" w:tplc="04220019" w:tentative="1">
      <w:start w:val="1"/>
      <w:numFmt w:val="lowerLetter"/>
      <w:lvlText w:val="%8."/>
      <w:lvlJc w:val="left"/>
      <w:pPr>
        <w:ind w:left="5593" w:hanging="360"/>
      </w:pPr>
    </w:lvl>
    <w:lvl w:ilvl="8" w:tplc="0422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2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07A3A"/>
    <w:rsid w:val="00010ED9"/>
    <w:rsid w:val="00012FBC"/>
    <w:rsid w:val="0002460D"/>
    <w:rsid w:val="00032DD7"/>
    <w:rsid w:val="00053082"/>
    <w:rsid w:val="00054560"/>
    <w:rsid w:val="00064509"/>
    <w:rsid w:val="00072622"/>
    <w:rsid w:val="00073A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121394"/>
    <w:rsid w:val="00131C1F"/>
    <w:rsid w:val="001366A3"/>
    <w:rsid w:val="00164B26"/>
    <w:rsid w:val="00164F29"/>
    <w:rsid w:val="001664C5"/>
    <w:rsid w:val="001743F1"/>
    <w:rsid w:val="001756DC"/>
    <w:rsid w:val="00180E1F"/>
    <w:rsid w:val="001962E2"/>
    <w:rsid w:val="00197720"/>
    <w:rsid w:val="001A0783"/>
    <w:rsid w:val="001B27F4"/>
    <w:rsid w:val="001C3E87"/>
    <w:rsid w:val="001C6046"/>
    <w:rsid w:val="001C756C"/>
    <w:rsid w:val="001D1C1E"/>
    <w:rsid w:val="001D35AE"/>
    <w:rsid w:val="001D47D0"/>
    <w:rsid w:val="001E47FB"/>
    <w:rsid w:val="001E4FE8"/>
    <w:rsid w:val="001F1AB0"/>
    <w:rsid w:val="001F2D21"/>
    <w:rsid w:val="001F3EA0"/>
    <w:rsid w:val="002003D3"/>
    <w:rsid w:val="002048BB"/>
    <w:rsid w:val="002052A3"/>
    <w:rsid w:val="00213B3D"/>
    <w:rsid w:val="00230BA4"/>
    <w:rsid w:val="00230FBD"/>
    <w:rsid w:val="0023491D"/>
    <w:rsid w:val="002400C4"/>
    <w:rsid w:val="00247E12"/>
    <w:rsid w:val="002577D5"/>
    <w:rsid w:val="0027206F"/>
    <w:rsid w:val="0027323D"/>
    <w:rsid w:val="00274BCA"/>
    <w:rsid w:val="00275D20"/>
    <w:rsid w:val="00281413"/>
    <w:rsid w:val="0028319E"/>
    <w:rsid w:val="002A011B"/>
    <w:rsid w:val="002A0B7C"/>
    <w:rsid w:val="002B341F"/>
    <w:rsid w:val="002C43D1"/>
    <w:rsid w:val="002D07BA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47AC7"/>
    <w:rsid w:val="00352ACA"/>
    <w:rsid w:val="003575AD"/>
    <w:rsid w:val="003614FD"/>
    <w:rsid w:val="00362F0E"/>
    <w:rsid w:val="003676BD"/>
    <w:rsid w:val="00372F7E"/>
    <w:rsid w:val="00377698"/>
    <w:rsid w:val="003845F6"/>
    <w:rsid w:val="00384853"/>
    <w:rsid w:val="00386FE0"/>
    <w:rsid w:val="003922B9"/>
    <w:rsid w:val="003927DC"/>
    <w:rsid w:val="003A23C6"/>
    <w:rsid w:val="003A7FC3"/>
    <w:rsid w:val="003C5CCE"/>
    <w:rsid w:val="003C61D2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202F9"/>
    <w:rsid w:val="00422259"/>
    <w:rsid w:val="00423F3F"/>
    <w:rsid w:val="00424E6E"/>
    <w:rsid w:val="0046187A"/>
    <w:rsid w:val="004633CF"/>
    <w:rsid w:val="0046501B"/>
    <w:rsid w:val="00465C9F"/>
    <w:rsid w:val="004826C0"/>
    <w:rsid w:val="00482A8F"/>
    <w:rsid w:val="0048337A"/>
    <w:rsid w:val="00485E73"/>
    <w:rsid w:val="00496576"/>
    <w:rsid w:val="004A16EF"/>
    <w:rsid w:val="004A1C98"/>
    <w:rsid w:val="004A47D7"/>
    <w:rsid w:val="004A706D"/>
    <w:rsid w:val="004D2D2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14044"/>
    <w:rsid w:val="0053428F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24AE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16DAF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90EFB"/>
    <w:rsid w:val="00691B9A"/>
    <w:rsid w:val="006A1F35"/>
    <w:rsid w:val="006B0363"/>
    <w:rsid w:val="006B2B69"/>
    <w:rsid w:val="006B7F42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3921"/>
    <w:rsid w:val="0071448D"/>
    <w:rsid w:val="007148CB"/>
    <w:rsid w:val="007413C6"/>
    <w:rsid w:val="007416A7"/>
    <w:rsid w:val="007427E4"/>
    <w:rsid w:val="0074300B"/>
    <w:rsid w:val="00747976"/>
    <w:rsid w:val="007558CF"/>
    <w:rsid w:val="00771B7D"/>
    <w:rsid w:val="007734C4"/>
    <w:rsid w:val="00785510"/>
    <w:rsid w:val="007A122B"/>
    <w:rsid w:val="007A35A9"/>
    <w:rsid w:val="007A401E"/>
    <w:rsid w:val="007B26E0"/>
    <w:rsid w:val="007C1D82"/>
    <w:rsid w:val="007E0720"/>
    <w:rsid w:val="007E3577"/>
    <w:rsid w:val="007F1024"/>
    <w:rsid w:val="00800E40"/>
    <w:rsid w:val="008061C0"/>
    <w:rsid w:val="00817471"/>
    <w:rsid w:val="00826EE2"/>
    <w:rsid w:val="00831147"/>
    <w:rsid w:val="00832326"/>
    <w:rsid w:val="0084348A"/>
    <w:rsid w:val="00846083"/>
    <w:rsid w:val="00847651"/>
    <w:rsid w:val="00852937"/>
    <w:rsid w:val="00861075"/>
    <w:rsid w:val="00863D25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74492"/>
    <w:rsid w:val="00982AB9"/>
    <w:rsid w:val="00997EC2"/>
    <w:rsid w:val="009A516F"/>
    <w:rsid w:val="009B1C9D"/>
    <w:rsid w:val="009B289E"/>
    <w:rsid w:val="009B4207"/>
    <w:rsid w:val="009B791B"/>
    <w:rsid w:val="009C4188"/>
    <w:rsid w:val="009C6B91"/>
    <w:rsid w:val="009D6E2B"/>
    <w:rsid w:val="009E2DE6"/>
    <w:rsid w:val="009E5C85"/>
    <w:rsid w:val="00A02F87"/>
    <w:rsid w:val="00A10253"/>
    <w:rsid w:val="00A22572"/>
    <w:rsid w:val="00A30AB5"/>
    <w:rsid w:val="00A36DC5"/>
    <w:rsid w:val="00A5265E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B5B93"/>
    <w:rsid w:val="00AB7C50"/>
    <w:rsid w:val="00AC1CAB"/>
    <w:rsid w:val="00AC404D"/>
    <w:rsid w:val="00AE1728"/>
    <w:rsid w:val="00AE3338"/>
    <w:rsid w:val="00AF03A2"/>
    <w:rsid w:val="00B12508"/>
    <w:rsid w:val="00B2154F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3"/>
    <w:rsid w:val="00B8073B"/>
    <w:rsid w:val="00B817C5"/>
    <w:rsid w:val="00B83E5B"/>
    <w:rsid w:val="00B92388"/>
    <w:rsid w:val="00B92630"/>
    <w:rsid w:val="00B9331A"/>
    <w:rsid w:val="00B97C91"/>
    <w:rsid w:val="00BB1B91"/>
    <w:rsid w:val="00BB2AC7"/>
    <w:rsid w:val="00BC682F"/>
    <w:rsid w:val="00BD0874"/>
    <w:rsid w:val="00BE0C25"/>
    <w:rsid w:val="00BE59A6"/>
    <w:rsid w:val="00BF2BF2"/>
    <w:rsid w:val="00BF2D72"/>
    <w:rsid w:val="00BF31B3"/>
    <w:rsid w:val="00BF4576"/>
    <w:rsid w:val="00C049D6"/>
    <w:rsid w:val="00C17AD5"/>
    <w:rsid w:val="00C2043F"/>
    <w:rsid w:val="00C20ED8"/>
    <w:rsid w:val="00C25AB3"/>
    <w:rsid w:val="00C33BBF"/>
    <w:rsid w:val="00C37395"/>
    <w:rsid w:val="00C432AE"/>
    <w:rsid w:val="00C47B6F"/>
    <w:rsid w:val="00C510CD"/>
    <w:rsid w:val="00C56058"/>
    <w:rsid w:val="00C600CD"/>
    <w:rsid w:val="00C710F1"/>
    <w:rsid w:val="00C7312E"/>
    <w:rsid w:val="00C76BBD"/>
    <w:rsid w:val="00C900CB"/>
    <w:rsid w:val="00C95563"/>
    <w:rsid w:val="00CA58DE"/>
    <w:rsid w:val="00CA7863"/>
    <w:rsid w:val="00CB0E55"/>
    <w:rsid w:val="00CB3B05"/>
    <w:rsid w:val="00CC7B9E"/>
    <w:rsid w:val="00CD0ED0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52AC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4B9E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8579B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EE5A62"/>
    <w:rsid w:val="00F041EB"/>
    <w:rsid w:val="00F135D2"/>
    <w:rsid w:val="00F144A6"/>
    <w:rsid w:val="00F17150"/>
    <w:rsid w:val="00F21C00"/>
    <w:rsid w:val="00F23353"/>
    <w:rsid w:val="00F27976"/>
    <w:rsid w:val="00F3026E"/>
    <w:rsid w:val="00F30804"/>
    <w:rsid w:val="00F339B5"/>
    <w:rsid w:val="00F36897"/>
    <w:rsid w:val="00F4267C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E4B21"/>
    <w:rsid w:val="00FF0323"/>
    <w:rsid w:val="00FF3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9FC85-BECA-4F89-91F5-4C00A3E8A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1829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9</cp:revision>
  <cp:lastPrinted>2025-07-21T14:01:00Z</cp:lastPrinted>
  <dcterms:created xsi:type="dcterms:W3CDTF">2025-10-28T13:50:00Z</dcterms:created>
  <dcterms:modified xsi:type="dcterms:W3CDTF">2025-10-30T13:10:00Z</dcterms:modified>
</cp:coreProperties>
</file>